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jc w:val="center"/>
        <w:rPr>
          <w:rFonts w:ascii="Comic Sans MS" w:cs="Comic Sans MS" w:eastAsia="Comic Sans MS" w:hAnsi="Comic Sans MS"/>
          <w:b w:val="1"/>
          <w:sz w:val="28"/>
          <w:szCs w:val="28"/>
          <w:highlight w:val="white"/>
        </w:rPr>
      </w:pPr>
      <w:r w:rsidDel="00000000" w:rsidR="00000000" w:rsidRPr="00000000">
        <w:rPr>
          <w:rFonts w:ascii="Comic Sans MS" w:cs="Comic Sans MS" w:eastAsia="Comic Sans MS" w:hAnsi="Comic Sans MS"/>
          <w:sz w:val="28"/>
          <w:szCs w:val="28"/>
          <w:highlight w:val="white"/>
          <w:rtl w:val="0"/>
        </w:rPr>
        <w:t xml:space="preserve">Course Outline:</w:t>
      </w:r>
      <w:r w:rsidDel="00000000" w:rsidR="00000000" w:rsidRPr="00000000">
        <w:rPr>
          <w:rFonts w:ascii="Comic Sans MS" w:cs="Comic Sans MS" w:eastAsia="Comic Sans MS" w:hAnsi="Comic Sans MS"/>
          <w:sz w:val="28"/>
          <w:szCs w:val="28"/>
          <w:highlight w:val="white"/>
          <w:rtl w:val="0"/>
        </w:rPr>
        <w:t xml:space="preserve"> </w:t>
      </w:r>
      <w:r w:rsidDel="00000000" w:rsidR="00000000" w:rsidRPr="00000000">
        <w:rPr>
          <w:rFonts w:ascii="Comic Sans MS" w:cs="Comic Sans MS" w:eastAsia="Comic Sans MS" w:hAnsi="Comic Sans MS"/>
          <w:b w:val="1"/>
          <w:sz w:val="28"/>
          <w:szCs w:val="28"/>
          <w:highlight w:val="white"/>
          <w:rtl w:val="0"/>
        </w:rPr>
        <w:t xml:space="preserve">Religion Immersion 7</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jc w:val="left"/>
        <w:rPr>
          <w:rFonts w:ascii="Comic Sans MS" w:cs="Comic Sans MS" w:eastAsia="Comic Sans MS" w:hAnsi="Comic Sans MS"/>
          <w:b w:val="1"/>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4057650</wp:posOffset>
            </wp:positionH>
            <wp:positionV relativeFrom="paragraph">
              <wp:posOffset>123825</wp:posOffset>
            </wp:positionV>
            <wp:extent cx="2305050" cy="199072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2305050" cy="1990725"/>
                    </a:xfrm>
                    <a:prstGeom prst="rect"/>
                    <a:ln/>
                  </pic:spPr>
                </pic:pic>
              </a:graphicData>
            </a:graphic>
          </wp:anchor>
        </w:drawing>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Religious Education Description and Critical Outcomes: </w:t>
      </w:r>
      <w:r w:rsidDel="00000000" w:rsidR="00000000" w:rsidRPr="00000000">
        <w:rPr>
          <w:sz w:val="24"/>
          <w:szCs w:val="24"/>
          <w:highlight w:val="white"/>
          <w:rtl w:val="0"/>
        </w:rPr>
        <w:t xml:space="preserve">This program assists young believers in nurturing their relationship with God in and through Christ in the context of a Spirit-filled community. By using the “faith summary” of the Apostles’ Creed, this program allows young believers to participate with the Church in exploring the dimensions of our relationship with God, Jesus and the community of the Holy Spirit.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Unit 1- I……..We:</w:t>
      </w:r>
      <w:r w:rsidDel="00000000" w:rsidR="00000000" w:rsidRPr="00000000">
        <w:rPr>
          <w:sz w:val="24"/>
          <w:szCs w:val="24"/>
          <w:highlight w:val="white"/>
          <w:rtl w:val="0"/>
        </w:rPr>
        <w:t xml:space="preserve"> be able to use a process of self-examination to name their own gifts, talents, personality traits and goals; understand their own growth toward, or movement from, wholeness, and the way that this affects their relationship with God and the Christian community;</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demonstrates skills for relating the community’s story, as found in the Bible, to their own lives.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Unit 2- We believe in God: </w:t>
      </w:r>
      <w:r w:rsidDel="00000000" w:rsidR="00000000" w:rsidRPr="00000000">
        <w:rPr>
          <w:sz w:val="24"/>
          <w:szCs w:val="24"/>
          <w:highlight w:val="white"/>
          <w:rtl w:val="0"/>
        </w:rPr>
        <w:t xml:space="preserve">demonstrate that skills and attitudes needed to build trusting relationships; identify signs of God’s presence and fidelity in the world around them.</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Unit 3- We believe in God the Father Almighty:</w:t>
      </w:r>
      <w:r w:rsidDel="00000000" w:rsidR="00000000" w:rsidRPr="00000000">
        <w:rPr>
          <w:sz w:val="24"/>
          <w:szCs w:val="24"/>
          <w:highlight w:val="white"/>
          <w:rtl w:val="0"/>
        </w:rPr>
        <w:t xml:space="preserve"> articulate the Church’s belief that God’s love goes far beyond human limitations; identify the signs of love and caring in the world around them; explain the ways in which the Ten Commandments liberate and allow for greater love; explain and use the observe, judge, act model of moral decision making.</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Unit 4- We believe in God...the creator of heaven and earth:</w:t>
      </w:r>
      <w:r w:rsidDel="00000000" w:rsidR="00000000" w:rsidRPr="00000000">
        <w:rPr>
          <w:sz w:val="24"/>
          <w:szCs w:val="24"/>
          <w:highlight w:val="white"/>
          <w:rtl w:val="0"/>
        </w:rPr>
        <w:t xml:space="preserve"> explain the ways that God invites us to share in the ongoing creation of the world; evaluate environmental issues in the light of God’s plan for creation; be able to define human dignity and recognize the things that support it and undermine it.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Unit 5- We believe in Jesus Christ, his only Son:</w:t>
      </w:r>
      <w:r w:rsidDel="00000000" w:rsidR="00000000" w:rsidRPr="00000000">
        <w:rPr>
          <w:sz w:val="24"/>
          <w:szCs w:val="24"/>
          <w:highlight w:val="white"/>
          <w:rtl w:val="0"/>
        </w:rPr>
        <w:t xml:space="preserve"> explain the significance of the many titles for Jesus; identify the ways that Jesus challenged people’s expectations, attitudes and behaviour in Scripture and the way those Scripture stories challenge us; retell a variety of stories of people whose lives were changed by Jesus.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Unit 6- We believe in Jesus...our Lord:</w:t>
      </w:r>
      <w:r w:rsidDel="00000000" w:rsidR="00000000" w:rsidRPr="00000000">
        <w:rPr>
          <w:sz w:val="24"/>
          <w:szCs w:val="24"/>
          <w:highlight w:val="white"/>
          <w:rtl w:val="0"/>
        </w:rPr>
        <w:t xml:space="preserve"> identify what it means to live in the kingdom of God, where Jesus is Lord; examine the things they are doing in their own lives that either promote or prevent true happiness; articulate their understanding of the nature, purpose and effects of Jesus’ parables about the kingdom of God.</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Unit 7- We believe in Jesus...who was conceived by the power of the Holy Spirit and born of the Virgin Mary:</w:t>
      </w:r>
      <w:r w:rsidDel="00000000" w:rsidR="00000000" w:rsidRPr="00000000">
        <w:rPr>
          <w:sz w:val="24"/>
          <w:szCs w:val="24"/>
          <w:highlight w:val="white"/>
          <w:rtl w:val="0"/>
        </w:rPr>
        <w:t xml:space="preserve"> name some ways the God’s grace can work, and is at work, in their lives; describe the political and cultural circumstances that shaped Jesus’ life.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Unit 8- He suffered under Pontius Pilate, was crucified, died and was buried. He descended to the dead.:</w:t>
      </w:r>
      <w:r w:rsidDel="00000000" w:rsidR="00000000" w:rsidRPr="00000000">
        <w:rPr>
          <w:sz w:val="24"/>
          <w:szCs w:val="24"/>
          <w:highlight w:val="white"/>
          <w:rtl w:val="0"/>
        </w:rPr>
        <w:t xml:space="preserve"> describe the issues that led to the Jesus’ crucifixion; articulate the meaning of sacrifice; articulate the understanding that Jesus’ descent to the dead signifies that the message of salvation is for all people in all times and all places.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Unit 9- On the third day he rose. He ascended into heaven:</w:t>
      </w:r>
      <w:r w:rsidDel="00000000" w:rsidR="00000000" w:rsidRPr="00000000">
        <w:rPr>
          <w:sz w:val="24"/>
          <w:szCs w:val="24"/>
          <w:highlight w:val="white"/>
          <w:rtl w:val="0"/>
        </w:rPr>
        <w:t xml:space="preserve">  identify the hope that is found in Jesus’ resurrection for the difficult moments of their lives; discuss how resurrection is more than the simple restoration of what use to be.</w:t>
      </w:r>
    </w:p>
    <w:p w:rsidR="00000000" w:rsidDel="00000000" w:rsidP="00000000" w:rsidRDefault="00000000" w:rsidRPr="00000000">
      <w:pPr>
        <w:pBdr>
          <w:top w:color="auto" w:space="2" w:sz="2" w:val="single"/>
          <w:left w:color="auto" w:space="0" w:sz="2" w:val="single"/>
          <w:bottom w:color="auto" w:space="0" w:sz="2" w:val="single"/>
          <w:right w:color="auto" w:space="0" w:sz="2" w:val="single"/>
        </w:pBdr>
        <w:spacing w:line="230.39999999999998" w:lineRule="auto"/>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Unit 10- He is seated at the right hand of the Father.  He will come again to judge the living and the dead.:</w:t>
      </w:r>
      <w:r w:rsidDel="00000000" w:rsidR="00000000" w:rsidRPr="00000000">
        <w:rPr>
          <w:sz w:val="24"/>
          <w:szCs w:val="24"/>
          <w:highlight w:val="white"/>
          <w:rtl w:val="0"/>
        </w:rPr>
        <w:t xml:space="preserve"> understand Jesus’ judgment as a judgment against the things that harm us and as a call to separate ourselves from those things; express that while we may question and even condemn the actions of others, only God may judge their hearts and their persons; help one another to find reasons for doing good even when it may go unnoticed.</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jc w:val="center"/>
        <w:rPr>
          <w:b w:val="1"/>
          <w:sz w:val="24"/>
          <w:szCs w:val="24"/>
          <w:highlight w:val="white"/>
        </w:rPr>
      </w:pPr>
      <w:r w:rsidDel="00000000" w:rsidR="00000000" w:rsidRPr="00000000">
        <w:rPr>
          <w:b w:val="1"/>
          <w:sz w:val="24"/>
          <w:szCs w:val="24"/>
          <w:highlight w:val="white"/>
          <w:rtl w:val="0"/>
        </w:rPr>
        <w:t xml:space="preserve">Fully Alive (Family Life) Description and Overall Expectations: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b w:val="1"/>
          <w:sz w:val="24"/>
          <w:szCs w:val="24"/>
          <w:highlight w:val="white"/>
          <w:rtl w:val="0"/>
        </w:rPr>
        <w:t xml:space="preserve">Theme 1 – Created and Loved by God</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b w:val="1"/>
          <w:sz w:val="24"/>
          <w:szCs w:val="24"/>
          <w:highlight w:val="white"/>
          <w:rtl w:val="0"/>
        </w:rPr>
        <w:t xml:space="preserve">Theme 2 – Living in Relationship</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b w:val="1"/>
          <w:sz w:val="24"/>
          <w:szCs w:val="24"/>
          <w:highlight w:val="white"/>
          <w:rtl w:val="0"/>
        </w:rPr>
        <w:t xml:space="preserve">Theme 3 – Created Sexual: Male and Female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b w:val="1"/>
          <w:sz w:val="24"/>
          <w:szCs w:val="24"/>
          <w:highlight w:val="white"/>
          <w:rtl w:val="0"/>
        </w:rPr>
        <w:t xml:space="preserve">Theme 4 – Growing in Commitment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b w:val="1"/>
          <w:sz w:val="24"/>
          <w:szCs w:val="24"/>
          <w:highlight w:val="white"/>
          <w:rtl w:val="0"/>
        </w:rPr>
        <w:t xml:space="preserve">Theme 5 – Living in the World</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color w:val="0000ff"/>
          <w:sz w:val="24"/>
          <w:szCs w:val="24"/>
          <w:highlight w:val="white"/>
          <w:u w:val="single"/>
        </w:rPr>
      </w:pPr>
      <w:r w:rsidDel="00000000" w:rsidR="00000000" w:rsidRPr="00000000">
        <w:rPr>
          <w:b w:val="1"/>
          <w:sz w:val="24"/>
          <w:szCs w:val="24"/>
          <w:highlight w:val="white"/>
          <w:rtl w:val="0"/>
        </w:rPr>
        <w:t xml:space="preserve">Catholic Graduate Expectations:</w:t>
      </w:r>
      <w:r w:rsidDel="00000000" w:rsidR="00000000" w:rsidRPr="00000000">
        <w:rPr>
          <w:sz w:val="24"/>
          <w:szCs w:val="24"/>
          <w:highlight w:val="white"/>
          <w:rtl w:val="0"/>
        </w:rPr>
        <w:t xml:space="preserve">  Our goal for all students is to experience an education based on our Catholic Graduate Expectations. Catholic Graduate Expecations, as well as other Catholic Curriculum documents, may be found at:</w:t>
      </w:r>
      <w:hyperlink r:id="rId6">
        <w:r w:rsidDel="00000000" w:rsidR="00000000" w:rsidRPr="00000000">
          <w:rPr>
            <w:sz w:val="24"/>
            <w:szCs w:val="24"/>
            <w:highlight w:val="white"/>
            <w:rtl w:val="0"/>
          </w:rPr>
          <w:t xml:space="preserve"> </w:t>
        </w:r>
      </w:hyperlink>
      <w:hyperlink r:id="rId7">
        <w:r w:rsidDel="00000000" w:rsidR="00000000" w:rsidRPr="00000000">
          <w:rPr>
            <w:color w:val="0000ff"/>
            <w:sz w:val="24"/>
            <w:szCs w:val="24"/>
            <w:highlight w:val="white"/>
            <w:u w:val="single"/>
            <w:rtl w:val="0"/>
          </w:rPr>
          <w:t xml:space="preserve">http://www.iceont.ca</w:t>
        </w:r>
      </w:hyperlink>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color w:val="0000ff"/>
          <w:sz w:val="24"/>
          <w:szCs w:val="24"/>
          <w:highlight w:val="white"/>
          <w:u w:val="single"/>
        </w:rPr>
      </w:pPr>
      <w:hyperlink r:id="rId8">
        <w:r w:rsidDel="00000000" w:rsidR="00000000" w:rsidRPr="00000000">
          <w:rPr>
            <w:rtl w:val="0"/>
          </w:rPr>
        </w:r>
      </w:hyperlink>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jc w:val="both"/>
        <w:rPr>
          <w:i w:val="1"/>
          <w:sz w:val="24"/>
          <w:szCs w:val="24"/>
          <w:highlight w:val="white"/>
        </w:rPr>
        <w:sectPr>
          <w:headerReference r:id="rId9" w:type="default"/>
          <w:pgSz w:h="15840" w:w="12240"/>
          <w:pgMar w:bottom="1440" w:top="1440" w:left="1440" w:right="1440" w:header="0"/>
          <w:pgNumType w:start="1"/>
        </w:sectPr>
      </w:pPr>
      <w:r w:rsidDel="00000000" w:rsidR="00000000" w:rsidRPr="00000000">
        <w:rPr>
          <w:i w:val="1"/>
          <w:sz w:val="24"/>
          <w:szCs w:val="24"/>
          <w:highlight w:val="white"/>
          <w:rtl w:val="0"/>
        </w:rPr>
        <w:t xml:space="preserve">We work in community to develop graduates that are: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ind w:left="720" w:firstLine="0"/>
        <w:contextualSpacing w:val="0"/>
        <w:rPr>
          <w:sz w:val="24"/>
          <w:szCs w:val="24"/>
          <w:highlight w:val="white"/>
        </w:rPr>
      </w:pPr>
      <w:r w:rsidDel="00000000" w:rsidR="00000000" w:rsidRPr="00000000">
        <w:rPr>
          <w:sz w:val="24"/>
          <w:szCs w:val="24"/>
          <w:highlight w:val="white"/>
          <w:rtl w:val="0"/>
        </w:rPr>
        <w:t xml:space="preserve">Discerning Believers Formed in the Catholic Faith Community</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ind w:left="720" w:firstLine="0"/>
        <w:contextualSpacing w:val="0"/>
        <w:rPr>
          <w:sz w:val="24"/>
          <w:szCs w:val="24"/>
          <w:highlight w:val="white"/>
        </w:rPr>
      </w:pPr>
      <w:r w:rsidDel="00000000" w:rsidR="00000000" w:rsidRPr="00000000">
        <w:rPr>
          <w:sz w:val="24"/>
          <w:szCs w:val="24"/>
          <w:highlight w:val="white"/>
          <w:rtl w:val="0"/>
        </w:rPr>
        <w:t xml:space="preserve">Effective Communicators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ind w:left="720" w:firstLine="0"/>
        <w:contextualSpacing w:val="0"/>
        <w:rPr>
          <w:sz w:val="24"/>
          <w:szCs w:val="24"/>
          <w:highlight w:val="white"/>
        </w:rPr>
      </w:pPr>
      <w:r w:rsidDel="00000000" w:rsidR="00000000" w:rsidRPr="00000000">
        <w:rPr>
          <w:sz w:val="24"/>
          <w:szCs w:val="24"/>
          <w:highlight w:val="white"/>
          <w:rtl w:val="0"/>
        </w:rPr>
        <w:t xml:space="preserve">Reflective and Creative Thinkers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ind w:left="720" w:firstLine="0"/>
        <w:contextualSpacing w:val="0"/>
        <w:rPr>
          <w:sz w:val="24"/>
          <w:szCs w:val="24"/>
          <w:highlight w:val="white"/>
        </w:rPr>
      </w:pPr>
      <w:r w:rsidDel="00000000" w:rsidR="00000000" w:rsidRPr="00000000">
        <w:rPr>
          <w:sz w:val="24"/>
          <w:szCs w:val="24"/>
          <w:highlight w:val="white"/>
          <w:rtl w:val="0"/>
        </w:rPr>
        <w:t xml:space="preserve">Self-Directed, Responsible, Lifelong Learners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ind w:left="720" w:firstLine="0"/>
        <w:contextualSpacing w:val="0"/>
        <w:rPr>
          <w:sz w:val="24"/>
          <w:szCs w:val="24"/>
          <w:highlight w:val="white"/>
        </w:rPr>
      </w:pPr>
      <w:r w:rsidDel="00000000" w:rsidR="00000000" w:rsidRPr="00000000">
        <w:rPr>
          <w:sz w:val="24"/>
          <w:szCs w:val="24"/>
          <w:highlight w:val="white"/>
          <w:rtl w:val="0"/>
        </w:rPr>
        <w:t xml:space="preserve">Collaborative Contributors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ind w:left="720" w:firstLine="0"/>
        <w:contextualSpacing w:val="0"/>
        <w:rPr>
          <w:sz w:val="24"/>
          <w:szCs w:val="24"/>
          <w:highlight w:val="white"/>
        </w:rPr>
      </w:pPr>
      <w:r w:rsidDel="00000000" w:rsidR="00000000" w:rsidRPr="00000000">
        <w:rPr>
          <w:sz w:val="24"/>
          <w:szCs w:val="24"/>
          <w:highlight w:val="white"/>
          <w:rtl w:val="0"/>
        </w:rPr>
        <w:t xml:space="preserve">Caring Family Members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ind w:left="720" w:firstLine="0"/>
        <w:contextualSpacing w:val="0"/>
        <w:rPr>
          <w:sz w:val="24"/>
          <w:szCs w:val="24"/>
          <w:highlight w:val="white"/>
        </w:rPr>
        <w:sectPr>
          <w:type w:val="continuous"/>
          <w:pgSz w:h="15840" w:w="12240"/>
          <w:pgMar w:bottom="1440" w:top="1440" w:left="1440" w:right="1440" w:header="0"/>
          <w:cols w:equalWidth="0" w:num="2">
            <w:col w:space="720" w:w="4320"/>
            <w:col w:space="0" w:w="4320"/>
          </w:cols>
        </w:sectPr>
      </w:pPr>
      <w:r w:rsidDel="00000000" w:rsidR="00000000" w:rsidRPr="00000000">
        <w:rPr>
          <w:sz w:val="24"/>
          <w:szCs w:val="24"/>
          <w:highlight w:val="white"/>
          <w:rtl w:val="0"/>
        </w:rPr>
        <w:t xml:space="preserve">Responsible Citizens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ind w:left="720" w:firstLine="0"/>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b w:val="1"/>
          <w:sz w:val="24"/>
          <w:szCs w:val="24"/>
          <w:highlight w:val="white"/>
          <w:rtl w:val="0"/>
        </w:rPr>
        <w:t xml:space="preserve">Assessment, Evaluation and Reporting: </w:t>
      </w:r>
      <w:r w:rsidDel="00000000" w:rsidR="00000000" w:rsidRPr="00000000">
        <w:rPr>
          <w:sz w:val="24"/>
          <w:szCs w:val="24"/>
          <w:highlight w:val="white"/>
          <w:rtl w:val="0"/>
        </w:rPr>
        <w:t xml:space="preserve">The primary purpose of assessment and evaluation is to improve student learning.  Students will understand what is expected of them, using learning goals, and success criteria, based on the overall expectations.   Feedback (self, peer, teacher) supports learning, and plays a critical role in academic achievement and success. The development of learning skills and work habits is a key indicator of future success. The following learning skills and work habits will be developed, assessed, and reported during this course:</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ind w:left="720" w:hanging="360"/>
        <w:contextualSpacing w:val="1"/>
        <w:rPr>
          <w:sz w:val="24"/>
          <w:szCs w:val="24"/>
          <w:highlight w:val="white"/>
        </w:rPr>
      </w:pPr>
      <w:r w:rsidDel="00000000" w:rsidR="00000000" w:rsidRPr="00000000">
        <w:rPr>
          <w:sz w:val="24"/>
          <w:szCs w:val="24"/>
          <w:highlight w:val="white"/>
          <w:rtl w:val="0"/>
        </w:rPr>
        <w:t xml:space="preserve">Responsibility - fulfills responsibilities and commitments (e.g. accepts and acts on feedback)</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ind w:left="720" w:hanging="360"/>
        <w:contextualSpacing w:val="1"/>
        <w:rPr>
          <w:sz w:val="24"/>
          <w:szCs w:val="24"/>
          <w:highlight w:val="white"/>
        </w:rPr>
      </w:pPr>
      <w:r w:rsidDel="00000000" w:rsidR="00000000" w:rsidRPr="00000000">
        <w:rPr>
          <w:sz w:val="24"/>
          <w:szCs w:val="24"/>
          <w:highlight w:val="white"/>
          <w:rtl w:val="0"/>
        </w:rPr>
        <w:t xml:space="preserve">Organization - manages time to complete tasks and achieve goals (e.g. meets goals, on time)</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ind w:left="720" w:hanging="360"/>
        <w:contextualSpacing w:val="1"/>
        <w:rPr>
          <w:sz w:val="24"/>
          <w:szCs w:val="24"/>
          <w:highlight w:val="white"/>
        </w:rPr>
      </w:pPr>
      <w:r w:rsidDel="00000000" w:rsidR="00000000" w:rsidRPr="00000000">
        <w:rPr>
          <w:sz w:val="24"/>
          <w:szCs w:val="24"/>
          <w:highlight w:val="white"/>
          <w:rtl w:val="0"/>
        </w:rPr>
        <w:t xml:space="preserve">Independent work - uses class time appropriately to complete tasks (e.g. monitors own learning)</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ind w:left="720" w:hanging="360"/>
        <w:contextualSpacing w:val="1"/>
        <w:rPr>
          <w:sz w:val="24"/>
          <w:szCs w:val="24"/>
          <w:highlight w:val="white"/>
        </w:rPr>
      </w:pPr>
      <w:r w:rsidDel="00000000" w:rsidR="00000000" w:rsidRPr="00000000">
        <w:rPr>
          <w:sz w:val="24"/>
          <w:szCs w:val="24"/>
          <w:highlight w:val="white"/>
          <w:rtl w:val="0"/>
        </w:rPr>
        <w:t xml:space="preserve">Collaboration - works with others, promotes critical thinking (e.g. provides feedback to peers)</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ind w:left="720" w:hanging="360"/>
        <w:contextualSpacing w:val="1"/>
        <w:rPr>
          <w:sz w:val="24"/>
          <w:szCs w:val="24"/>
          <w:highlight w:val="white"/>
        </w:rPr>
      </w:pPr>
      <w:r w:rsidDel="00000000" w:rsidR="00000000" w:rsidRPr="00000000">
        <w:rPr>
          <w:sz w:val="24"/>
          <w:szCs w:val="24"/>
          <w:highlight w:val="white"/>
          <w:rtl w:val="0"/>
        </w:rPr>
        <w:t xml:space="preserve">Initiative - demonstrates curiosity and an interest in learning (e.g. sets high goals)</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ind w:left="720" w:hanging="360"/>
        <w:contextualSpacing w:val="1"/>
        <w:rPr>
          <w:sz w:val="24"/>
          <w:szCs w:val="24"/>
          <w:highlight w:val="white"/>
        </w:rPr>
      </w:pPr>
      <w:r w:rsidDel="00000000" w:rsidR="00000000" w:rsidRPr="00000000">
        <w:rPr>
          <w:sz w:val="24"/>
          <w:szCs w:val="24"/>
          <w:highlight w:val="white"/>
          <w:rtl w:val="0"/>
        </w:rPr>
        <w:t xml:space="preserve">Self-Regulation - sets goals, monitors progress towards achieving goals (e.g. sets, reflects goals)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i w:val="1"/>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rtl w:val="0"/>
        </w:rPr>
        <w:t xml:space="preserve">The achievement chart identifies four levels, based on achievement of the overall expectations: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rtl w:val="0"/>
        </w:rPr>
        <w:t xml:space="preserve">  Level 1</w:t>
        <w:tab/>
        <w:tab/>
        <w:t xml:space="preserve">achievement falls below the provincial standard </w:t>
        <w:tab/>
        <w:t xml:space="preserve">(50-59%)</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rtl w:val="0"/>
        </w:rPr>
        <w:t xml:space="preserve">  Level 2</w:t>
        <w:tab/>
        <w:tab/>
        <w:t xml:space="preserve">achievement approaches the provincial standard </w:t>
        <w:tab/>
        <w:t xml:space="preserve">(60-69%)</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rtl w:val="0"/>
        </w:rPr>
        <w:t xml:space="preserve">  Level 3</w:t>
        <w:tab/>
        <w:tab/>
        <w:t xml:space="preserve">achievement is at the provincial standard </w:t>
        <w:tab/>
        <w:tab/>
        <w:t xml:space="preserve">(70-79%)</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rtl w:val="0"/>
        </w:rPr>
        <w:t xml:space="preserve">  Level 4</w:t>
        <w:tab/>
        <w:tab/>
        <w:t xml:space="preserve">achievement surpasses the provincial standard</w:t>
        <w:tab/>
        <w:tab/>
        <w:t xml:space="preserve">(80-100%)</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b w:val="1"/>
          <w:sz w:val="24"/>
          <w:szCs w:val="24"/>
          <w:highlight w:val="white"/>
          <w:rtl w:val="0"/>
        </w:rPr>
        <w:t xml:space="preserve">Parent - Student - Teacher Communication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u w:val="single"/>
          <w:rtl w:val="0"/>
        </w:rPr>
        <w:t xml:space="preserve">Agendas:</w:t>
      </w:r>
      <w:r w:rsidDel="00000000" w:rsidR="00000000" w:rsidRPr="00000000">
        <w:rPr>
          <w:sz w:val="24"/>
          <w:szCs w:val="24"/>
          <w:highlight w:val="white"/>
          <w:rtl w:val="0"/>
        </w:rPr>
        <w:t xml:space="preserve"> The student agenda is an essential tool for organizational and communication purposes. Students are highly recommended to bring an agenda to class at all times. Parents are asked to look through the agenda regularly.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b w:val="1"/>
          <w:sz w:val="24"/>
          <w:szCs w:val="24"/>
          <w:highlight w:val="white"/>
        </w:rPr>
      </w:pPr>
      <w:r w:rsidDel="00000000" w:rsidR="00000000" w:rsidRPr="00000000">
        <w:rPr>
          <w:sz w:val="24"/>
          <w:szCs w:val="24"/>
          <w:highlight w:val="white"/>
          <w:u w:val="single"/>
          <w:rtl w:val="0"/>
        </w:rPr>
        <w:t xml:space="preserve">Website:</w:t>
      </w:r>
      <w:r w:rsidDel="00000000" w:rsidR="00000000" w:rsidRPr="00000000">
        <w:rPr>
          <w:sz w:val="24"/>
          <w:szCs w:val="24"/>
          <w:highlight w:val="white"/>
          <w:rtl w:val="0"/>
        </w:rPr>
        <w:t xml:space="preserve"> Parents are encouraged to monitor/follow Mme Pendergest's Religion class webpage at https://mllependergest.yolasite.com/.  The following username and password (case sensitive) are required to enter the site: </w:t>
      </w:r>
      <w:r w:rsidDel="00000000" w:rsidR="00000000" w:rsidRPr="00000000">
        <w:rPr>
          <w:b w:val="1"/>
          <w:sz w:val="24"/>
          <w:szCs w:val="24"/>
          <w:highlight w:val="white"/>
          <w:rtl w:val="0"/>
        </w:rPr>
        <w:t xml:space="preserve">Username – mths  &amp;  Password - Titans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u w:val="single"/>
          <w:rtl w:val="0"/>
        </w:rPr>
        <w:t xml:space="preserve">Twitter:</w:t>
      </w:r>
      <w:r w:rsidDel="00000000" w:rsidR="00000000" w:rsidRPr="00000000">
        <w:rPr>
          <w:sz w:val="24"/>
          <w:szCs w:val="24"/>
          <w:highlight w:val="white"/>
          <w:rtl w:val="0"/>
        </w:rPr>
        <w:t xml:space="preserve"> Please follow me at </w:t>
      </w:r>
      <w:hyperlink r:id="rId10">
        <w:r w:rsidDel="00000000" w:rsidR="00000000" w:rsidRPr="00000000">
          <w:rPr>
            <w:color w:val="1155cc"/>
            <w:sz w:val="24"/>
            <w:szCs w:val="24"/>
            <w:highlight w:val="white"/>
            <w:u w:val="single"/>
            <w:rtl w:val="0"/>
          </w:rPr>
          <w:t xml:space="preserve">@MllePendergest</w:t>
        </w:r>
      </w:hyperlink>
      <w:r w:rsidDel="00000000" w:rsidR="00000000" w:rsidRPr="00000000">
        <w:rPr>
          <w:sz w:val="24"/>
          <w:szCs w:val="24"/>
          <w:highlight w:val="white"/>
          <w:rtl w:val="0"/>
        </w:rPr>
        <w:t xml:space="preserve"> for updates on class events, activities and research.</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u w:val="single"/>
          <w:rtl w:val="0"/>
        </w:rPr>
        <w:t xml:space="preserve">Remind App:</w:t>
      </w:r>
      <w:r w:rsidDel="00000000" w:rsidR="00000000" w:rsidRPr="00000000">
        <w:rPr>
          <w:sz w:val="24"/>
          <w:szCs w:val="24"/>
          <w:highlight w:val="white"/>
          <w:rtl w:val="0"/>
        </w:rPr>
        <w:t xml:space="preserve"> Follow the link below to join a specific class Remind group. Remind is a free text messaging app that allows a teacher to send assignment, homework and event reminders to students and/or parents. (Note: For security purposes, cell phone numbers do not appear in the application.)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rtl w:val="0"/>
        </w:rPr>
        <w:t xml:space="preserve">706 Religion: </w:t>
      </w:r>
      <w:hyperlink r:id="rId11">
        <w:r w:rsidDel="00000000" w:rsidR="00000000" w:rsidRPr="00000000">
          <w:rPr>
            <w:color w:val="1155cc"/>
            <w:sz w:val="24"/>
            <w:szCs w:val="24"/>
            <w:highlight w:val="white"/>
            <w:u w:val="single"/>
            <w:rtl w:val="0"/>
          </w:rPr>
          <w:t xml:space="preserve">remind.com/join/2hhba2</w:t>
        </w:r>
      </w:hyperlink>
      <w:r w:rsidDel="00000000" w:rsidR="00000000" w:rsidRPr="00000000">
        <w:rPr>
          <w:sz w:val="24"/>
          <w:szCs w:val="24"/>
          <w:highlight w:val="white"/>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rtl w:val="0"/>
        </w:rPr>
        <w:t xml:space="preserve">705 Religion: </w:t>
      </w:r>
      <w:hyperlink r:id="rId12">
        <w:r w:rsidDel="00000000" w:rsidR="00000000" w:rsidRPr="00000000">
          <w:rPr>
            <w:color w:val="1155cc"/>
            <w:sz w:val="24"/>
            <w:szCs w:val="24"/>
            <w:highlight w:val="white"/>
            <w:u w:val="single"/>
            <w:rtl w:val="0"/>
          </w:rPr>
          <w:t xml:space="preserve">remind.com/join/eae8g6</w:t>
        </w:r>
      </w:hyperlink>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rtl w:val="0"/>
        </w:rPr>
        <w:t xml:space="preserve">I am always willing to provide extra-help during the lunch hour.  It is the student's responsibility to make these arrangements.  Parents and/or guardians are also welcome the call me at (613) 823-1663.</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rtl w:val="0"/>
        </w:rPr>
        <w:t xml:space="preserve">Sincerely,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4"/>
          <w:szCs w:val="24"/>
          <w:highlight w:val="white"/>
        </w:rPr>
      </w:pPr>
      <w:r w:rsidDel="00000000" w:rsidR="00000000" w:rsidRPr="00000000">
        <w:rPr>
          <w:sz w:val="24"/>
          <w:szCs w:val="24"/>
          <w:highlight w:val="white"/>
          <w:rtl w:val="0"/>
        </w:rPr>
        <w:t xml:space="preserve">Mme Pendergest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jc w:val="center"/>
        <w:rPr>
          <w:sz w:val="24"/>
          <w:szCs w:val="24"/>
          <w:highlight w:val="white"/>
        </w:rPr>
      </w:pPr>
      <w:r w:rsidDel="00000000" w:rsidR="00000000" w:rsidRPr="00000000">
        <w:rPr>
          <w:sz w:val="24"/>
          <w:szCs w:val="24"/>
          <w:highlight w:val="white"/>
          <w:rtl w:val="0"/>
        </w:rPr>
        <w:t xml:space="preserv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jc w:val="center"/>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6" w:sz="2" w:val="single"/>
          <w:right w:color="auto" w:space="0" w:sz="2" w:val="single"/>
        </w:pBdr>
        <w:contextualSpacing w:val="0"/>
        <w:jc w:val="both"/>
        <w:rPr>
          <w:b w:val="1"/>
          <w:sz w:val="24"/>
          <w:szCs w:val="24"/>
          <w:highlight w:val="white"/>
        </w:rPr>
      </w:pPr>
      <w:r w:rsidDel="00000000" w:rsidR="00000000" w:rsidRPr="00000000">
        <w:rPr>
          <w:b w:val="1"/>
          <w:sz w:val="24"/>
          <w:szCs w:val="24"/>
          <w:highlight w:val="white"/>
          <w:rtl w:val="0"/>
        </w:rPr>
        <w:t xml:space="preserve">Student and Parent/Guardian Acknowledgement</w:t>
      </w:r>
    </w:p>
    <w:p w:rsidR="00000000" w:rsidDel="00000000" w:rsidP="00000000" w:rsidRDefault="00000000" w:rsidRPr="00000000">
      <w:pPr>
        <w:pBdr>
          <w:top w:color="auto" w:space="0" w:sz="2" w:val="single"/>
          <w:left w:color="auto" w:space="0" w:sz="2" w:val="single"/>
          <w:bottom w:color="auto" w:space="6" w:sz="2" w:val="single"/>
          <w:right w:color="auto" w:space="0" w:sz="2" w:val="single"/>
        </w:pBdr>
        <w:contextualSpacing w:val="0"/>
        <w:rPr>
          <w:sz w:val="24"/>
          <w:szCs w:val="24"/>
          <w:highlight w:val="white"/>
        </w:rPr>
      </w:pPr>
      <w:r w:rsidDel="00000000" w:rsidR="00000000" w:rsidRPr="00000000">
        <w:rPr>
          <w:sz w:val="24"/>
          <w:szCs w:val="24"/>
          <w:highlight w:val="white"/>
          <w:rtl w:val="0"/>
        </w:rPr>
        <w:t xml:space="preserve">We have read the above course outline and are aware of the student responsibilities to attend class on a regular basis and to provide evidence of learning within the established timelines. </w:t>
      </w:r>
    </w:p>
    <w:p w:rsidR="00000000" w:rsidDel="00000000" w:rsidP="00000000" w:rsidRDefault="00000000" w:rsidRPr="00000000">
      <w:pPr>
        <w:pBdr>
          <w:top w:color="auto" w:space="0" w:sz="2" w:val="single"/>
          <w:left w:color="auto" w:space="0" w:sz="2" w:val="single"/>
          <w:bottom w:color="auto" w:space="6" w:sz="2" w:val="single"/>
          <w:right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6" w:sz="2" w:val="single"/>
          <w:right w:color="auto" w:space="0" w:sz="2" w:val="single"/>
        </w:pBdr>
        <w:contextualSpacing w:val="0"/>
        <w:rPr>
          <w:sz w:val="24"/>
          <w:szCs w:val="24"/>
          <w:highlight w:val="white"/>
        </w:rPr>
      </w:pPr>
      <w:r w:rsidDel="00000000" w:rsidR="00000000" w:rsidRPr="00000000">
        <w:rPr>
          <w:sz w:val="24"/>
          <w:szCs w:val="24"/>
          <w:highlight w:val="white"/>
          <w:rtl w:val="0"/>
        </w:rPr>
        <w:t xml:space="preserve">Student's Signature:</w:t>
        <w:tab/>
        <w:t xml:space="preserve">_____________________________________________</w:t>
      </w:r>
    </w:p>
    <w:p w:rsidR="00000000" w:rsidDel="00000000" w:rsidP="00000000" w:rsidRDefault="00000000" w:rsidRPr="00000000">
      <w:pPr>
        <w:pBdr>
          <w:top w:color="auto" w:space="0" w:sz="2" w:val="single"/>
          <w:left w:color="auto" w:space="0" w:sz="2" w:val="single"/>
          <w:bottom w:color="auto" w:space="6" w:sz="2" w:val="single"/>
          <w:right w:color="auto" w:space="0" w:sz="2" w:val="single"/>
        </w:pBdr>
        <w:contextualSpacing w:val="0"/>
        <w:rPr>
          <w:sz w:val="24"/>
          <w:szCs w:val="24"/>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6" w:sz="2" w:val="single"/>
          <w:right w:color="auto" w:space="0" w:sz="2" w:val="single"/>
        </w:pBdr>
        <w:contextualSpacing w:val="0"/>
        <w:rPr/>
      </w:pPr>
      <w:r w:rsidDel="00000000" w:rsidR="00000000" w:rsidRPr="00000000">
        <w:rPr>
          <w:sz w:val="24"/>
          <w:szCs w:val="24"/>
          <w:highlight w:val="white"/>
          <w:rtl w:val="0"/>
        </w:rPr>
        <w:t xml:space="preserve">Parent/Guardian Signature: ___________________________________________</w:t>
      </w:r>
      <w:r w:rsidDel="00000000" w:rsidR="00000000" w:rsidRPr="00000000">
        <w:rPr>
          <w:rtl w:val="0"/>
        </w:rPr>
      </w:r>
    </w:p>
    <w:sectPr>
      <w:type w:val="continuous"/>
      <w:pgSz w:h="15840" w:w="12240"/>
      <w:pgMar w:bottom="1440" w:top="1440" w:left="1440" w:right="144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omic Sans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rFonts w:ascii="Comic Sans MS" w:cs="Comic Sans MS" w:eastAsia="Comic Sans MS" w:hAnsi="Comic Sans MS"/>
        <w:sz w:val="18"/>
        <w:szCs w:val="18"/>
        <w:highlight w:val="white"/>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rFonts w:ascii="Comic Sans MS" w:cs="Comic Sans MS" w:eastAsia="Comic Sans MS" w:hAnsi="Comic Sans MS"/>
        <w:sz w:val="18"/>
        <w:szCs w:val="18"/>
        <w:highlight w:val="white"/>
      </w:rPr>
    </w:pPr>
    <w:r w:rsidDel="00000000" w:rsidR="00000000" w:rsidRPr="00000000">
      <w:rPr>
        <w:rFonts w:ascii="Comic Sans MS" w:cs="Comic Sans MS" w:eastAsia="Comic Sans MS" w:hAnsi="Comic Sans MS"/>
        <w:sz w:val="18"/>
        <w:szCs w:val="18"/>
        <w:highlight w:val="white"/>
        <w:rtl w:val="0"/>
      </w:rPr>
      <w:t xml:space="preserve">Teacher: Mme C. Pendergest</w:t>
      <w:tab/>
      <w:tab/>
      <w:tab/>
      <w:t xml:space="preserve">Ministry Guideline: Ontario Catholic Elementary Curriculum</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rFonts w:ascii="Comic Sans MS" w:cs="Comic Sans MS" w:eastAsia="Comic Sans MS" w:hAnsi="Comic Sans MS"/>
        <w:sz w:val="18"/>
        <w:szCs w:val="18"/>
        <w:highlight w:val="white"/>
      </w:rPr>
    </w:pPr>
    <w:r w:rsidDel="00000000" w:rsidR="00000000" w:rsidRPr="00000000">
      <w:rPr>
        <w:rFonts w:ascii="Comic Sans MS" w:cs="Comic Sans MS" w:eastAsia="Comic Sans MS" w:hAnsi="Comic Sans MS"/>
        <w:sz w:val="18"/>
        <w:szCs w:val="18"/>
        <w:highlight w:val="white"/>
        <w:rtl w:val="0"/>
      </w:rPr>
      <w:t xml:space="preserve">Grade: 7</w:t>
    </w:r>
  </w: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remind.com/join/2hhba2" TargetMode="External"/><Relationship Id="rId10" Type="http://schemas.openxmlformats.org/officeDocument/2006/relationships/hyperlink" Target="https://twitter.com/mllependergest?lang=en" TargetMode="External"/><Relationship Id="rId12" Type="http://schemas.openxmlformats.org/officeDocument/2006/relationships/hyperlink" Target="http://remind.com/join/eae8g6" TargetMode="External"/><Relationship Id="rId9" Type="http://schemas.openxmlformats.org/officeDocument/2006/relationships/header" Target="header1.xml"/><Relationship Id="rId5" Type="http://schemas.openxmlformats.org/officeDocument/2006/relationships/image" Target="media/image2.png"/><Relationship Id="rId6" Type="http://schemas.openxmlformats.org/officeDocument/2006/relationships/hyperlink" Target="http://www.iceont.ca/" TargetMode="External"/><Relationship Id="rId7" Type="http://schemas.openxmlformats.org/officeDocument/2006/relationships/hyperlink" Target="http://www.iceont.ca/" TargetMode="External"/><Relationship Id="rId8" Type="http://schemas.openxmlformats.org/officeDocument/2006/relationships/hyperlink" Target="http://www.iceont.ca/" TargetMode="External"/></Relationships>
</file>